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val="0"/>
        <w:wordWrap/>
        <w:overflowPunct/>
        <w:topLinePunct w:val="0"/>
        <w:autoSpaceDE w:val="0"/>
        <w:autoSpaceDN w:val="0"/>
        <w:bidi w:val="0"/>
        <w:adjustRightInd w:val="0"/>
        <w:snapToGrid w:val="0"/>
        <w:spacing w:line="620" w:lineRule="exact"/>
        <w:jc w:val="center"/>
        <w:textAlignment w:val="baseline"/>
        <w:rPr>
          <w:rFonts w:hint="default" w:ascii="Times New Roman" w:hAnsi="Times New Roman" w:eastAsia="仿宋" w:cs="Times New Roman"/>
          <w:b/>
          <w:bCs/>
          <w:sz w:val="36"/>
          <w:szCs w:val="36"/>
        </w:rPr>
      </w:pPr>
      <w:r>
        <w:rPr>
          <w:rFonts w:hint="default" w:ascii="Times New Roman" w:hAnsi="Times New Roman" w:eastAsia="仿宋" w:cs="Times New Roman"/>
          <w:b/>
          <w:bCs/>
          <w:sz w:val="36"/>
          <w:szCs w:val="36"/>
        </w:rPr>
        <w:t>复旦大学202</w:t>
      </w:r>
      <w:r>
        <w:rPr>
          <w:rFonts w:hint="default" w:ascii="Times New Roman" w:hAnsi="Times New Roman" w:eastAsia="仿宋" w:cs="Times New Roman"/>
          <w:b/>
          <w:bCs/>
          <w:sz w:val="36"/>
          <w:szCs w:val="36"/>
          <w:lang w:val="en-US" w:eastAsia="zh-CN"/>
        </w:rPr>
        <w:t>3</w:t>
      </w:r>
      <w:r>
        <w:rPr>
          <w:rFonts w:hint="default" w:ascii="Times New Roman" w:hAnsi="Times New Roman" w:eastAsia="仿宋" w:cs="Times New Roman"/>
          <w:b/>
          <w:bCs/>
          <w:sz w:val="36"/>
          <w:szCs w:val="36"/>
        </w:rPr>
        <w:t>年科学道德和学风宣讲教育工作总结</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textAlignment w:val="baseline"/>
        <w:rPr>
          <w:rFonts w:hint="default" w:ascii="Times New Roman" w:hAnsi="Times New Roman" w:eastAsia="仿宋" w:cs="Times New Roman"/>
          <w:sz w:val="32"/>
          <w:szCs w:val="32"/>
        </w:rPr>
      </w:pP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科学道德和学风教育是贯彻落实全员、全方位、全过程育人要求的重要举措</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加强学风建设是提升高等学校人才培养质量和科学研究水平的重要保证。202</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年，复旦大学以</w:t>
      </w:r>
      <w:r>
        <w:rPr>
          <w:rFonts w:hint="default" w:ascii="Times New Roman" w:hAnsi="Times New Roman" w:eastAsia="仿宋" w:cs="Times New Roman"/>
          <w:sz w:val="32"/>
          <w:szCs w:val="32"/>
          <w:lang w:val="en-US" w:eastAsia="zh-CN"/>
        </w:rPr>
        <w:t>习近平新时代中国特色社会主义思想为指导，全面贯彻党的教育方针、落实立德树人根本任务，对标对表习近平总书记关于高等教育特别是立德树人的重要论述和中央重要部署，</w:t>
      </w:r>
      <w:r>
        <w:rPr>
          <w:rFonts w:hint="default" w:ascii="Times New Roman" w:hAnsi="Times New Roman" w:eastAsia="仿宋" w:cs="Times New Roman"/>
          <w:sz w:val="32"/>
          <w:szCs w:val="32"/>
        </w:rPr>
        <w:t>认真贯彻落实全国科学道德和学风建设宣讲教育领导小组办公室、上海市科学道德和学风建设宣讲教育领导小组办公室等部门的相关文件精神，按照“全覆盖、制度化、重实效”要求，整合校内资源，采用多种形式积极推进全校科学道德和学风宣讲教育工作，营造了浓郁氛围，产生了良好效果。</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textAlignment w:val="baseline"/>
        <w:rPr>
          <w:rFonts w:hint="eastAsia" w:ascii="黑体" w:hAnsi="黑体" w:eastAsia="黑体" w:cs="黑体"/>
          <w:b/>
          <w:bCs/>
          <w:sz w:val="32"/>
          <w:szCs w:val="32"/>
        </w:rPr>
      </w:pPr>
      <w:r>
        <w:rPr>
          <w:rFonts w:hint="eastAsia" w:ascii="黑体" w:hAnsi="黑体" w:eastAsia="黑体" w:cs="黑体"/>
          <w:b/>
          <w:bCs/>
          <w:sz w:val="32"/>
          <w:szCs w:val="32"/>
          <w:lang w:val="en-US" w:eastAsia="zh-CN"/>
        </w:rPr>
        <w:t>一、</w:t>
      </w:r>
      <w:r>
        <w:rPr>
          <w:rFonts w:hint="eastAsia" w:ascii="黑体" w:hAnsi="黑体" w:eastAsia="黑体" w:cs="黑体"/>
          <w:b/>
          <w:bCs/>
          <w:sz w:val="32"/>
          <w:szCs w:val="32"/>
        </w:rPr>
        <w:t>新生入学教育</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我校自2016年开始</w:t>
      </w:r>
      <w:r>
        <w:rPr>
          <w:rFonts w:hint="default" w:ascii="Times New Roman" w:hAnsi="Times New Roman" w:eastAsia="仿宋" w:cs="Times New Roman"/>
          <w:sz w:val="32"/>
          <w:szCs w:val="32"/>
          <w:lang w:val="en-US" w:eastAsia="zh-CN"/>
        </w:rPr>
        <w:t>实施</w:t>
      </w:r>
      <w:r>
        <w:rPr>
          <w:rFonts w:hint="default" w:ascii="Times New Roman" w:hAnsi="Times New Roman" w:eastAsia="仿宋" w:cs="Times New Roman"/>
          <w:sz w:val="32"/>
          <w:szCs w:val="32"/>
        </w:rPr>
        <w:t>面向新生的科学道德和学风宣讲教育</w:t>
      </w:r>
      <w:r>
        <w:rPr>
          <w:rFonts w:hint="default" w:ascii="Times New Roman" w:hAnsi="Times New Roman" w:eastAsia="仿宋" w:cs="Times New Roman"/>
          <w:sz w:val="32"/>
          <w:szCs w:val="32"/>
          <w:lang w:eastAsia="zh-CN"/>
        </w:rPr>
        <w:t>，主要内容</w:t>
      </w:r>
      <w:r>
        <w:rPr>
          <w:rFonts w:hint="default" w:ascii="Times New Roman" w:hAnsi="Times New Roman" w:eastAsia="仿宋" w:cs="Times New Roman"/>
          <w:sz w:val="32"/>
          <w:szCs w:val="32"/>
          <w:lang w:val="en-US" w:eastAsia="zh-CN"/>
        </w:rPr>
        <w:t>覆盖</w:t>
      </w:r>
      <w:r>
        <w:rPr>
          <w:rFonts w:hint="default" w:ascii="Times New Roman" w:hAnsi="Times New Roman" w:eastAsia="仿宋" w:cs="Times New Roman"/>
          <w:sz w:val="32"/>
          <w:szCs w:val="32"/>
          <w:lang w:eastAsia="zh-CN"/>
        </w:rPr>
        <w:t>学校研究生教育基本情况及研究生学习和学位申请基本要求，</w:t>
      </w:r>
      <w:r>
        <w:rPr>
          <w:rFonts w:hint="default" w:ascii="Times New Roman" w:hAnsi="Times New Roman" w:eastAsia="仿宋" w:cs="Times New Roman"/>
          <w:sz w:val="32"/>
          <w:szCs w:val="32"/>
          <w:lang w:val="en-US" w:eastAsia="zh-CN"/>
        </w:rPr>
        <w:t>重点</w:t>
      </w:r>
      <w:r>
        <w:rPr>
          <w:rFonts w:hint="default" w:ascii="Times New Roman" w:hAnsi="Times New Roman" w:eastAsia="仿宋" w:cs="Times New Roman"/>
          <w:sz w:val="32"/>
          <w:szCs w:val="32"/>
          <w:lang w:eastAsia="zh-CN"/>
        </w:rPr>
        <w:t>涉及研究生在校学习期间的学籍管理、课程学习、培养环节要求、学风道德、申请学位、纪律处分、网络安全、生活垃圾分类、实验室安全以及校史与思政等</w:t>
      </w:r>
      <w:r>
        <w:rPr>
          <w:rFonts w:hint="eastAsia" w:ascii="Times New Roman" w:hAnsi="Times New Roman" w:cs="Times New Roman"/>
          <w:sz w:val="32"/>
          <w:szCs w:val="32"/>
          <w:lang w:val="en-US" w:eastAsia="zh-CN"/>
        </w:rPr>
        <w:t>多个</w:t>
      </w:r>
      <w:r>
        <w:rPr>
          <w:rFonts w:hint="default" w:ascii="Times New Roman" w:hAnsi="Times New Roman" w:eastAsia="仿宋" w:cs="Times New Roman"/>
          <w:sz w:val="32"/>
          <w:szCs w:val="32"/>
          <w:lang w:eastAsia="zh-CN"/>
        </w:rPr>
        <w:t>方面。2023</w:t>
      </w:r>
      <w:r>
        <w:rPr>
          <w:rFonts w:hint="default" w:ascii="Times New Roman" w:hAnsi="Times New Roman" w:eastAsia="仿宋" w:cs="Times New Roman"/>
          <w:sz w:val="32"/>
          <w:szCs w:val="32"/>
        </w:rPr>
        <w:t>年，各研究生培养单位</w:t>
      </w:r>
      <w:r>
        <w:rPr>
          <w:rFonts w:hint="default" w:ascii="Times New Roman" w:hAnsi="Times New Roman" w:eastAsia="仿宋" w:cs="Times New Roman"/>
          <w:sz w:val="32"/>
          <w:szCs w:val="32"/>
          <w:lang w:val="en-US" w:eastAsia="zh-CN"/>
        </w:rPr>
        <w:t>通过</w:t>
      </w:r>
      <w:r>
        <w:rPr>
          <w:rFonts w:hint="default" w:ascii="Times New Roman" w:hAnsi="Times New Roman" w:eastAsia="仿宋" w:cs="Times New Roman"/>
          <w:sz w:val="32"/>
          <w:szCs w:val="32"/>
        </w:rPr>
        <w:t>新生班会、网上答题、微信推送等方式</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继续开展</w:t>
      </w:r>
      <w:r>
        <w:rPr>
          <w:rFonts w:hint="default" w:ascii="Times New Roman" w:hAnsi="Times New Roman" w:eastAsia="仿宋" w:cs="Times New Roman"/>
          <w:sz w:val="32"/>
          <w:szCs w:val="32"/>
          <w:lang w:val="en-US" w:eastAsia="zh-CN"/>
        </w:rPr>
        <w:t>形式多样的</w:t>
      </w:r>
      <w:r>
        <w:rPr>
          <w:rFonts w:hint="default" w:ascii="Times New Roman" w:hAnsi="Times New Roman" w:eastAsia="仿宋" w:cs="Times New Roman"/>
          <w:sz w:val="32"/>
          <w:szCs w:val="32"/>
        </w:rPr>
        <w:t>新生入学教育，帮助新生了解和掌握学校研究生教育管理的基本要求。</w:t>
      </w:r>
      <w:r>
        <w:rPr>
          <w:rFonts w:hint="default" w:ascii="Times New Roman" w:hAnsi="Times New Roman" w:eastAsia="仿宋" w:cs="Times New Roman"/>
          <w:sz w:val="32"/>
          <w:szCs w:val="32"/>
          <w:lang w:val="en-US" w:eastAsia="zh-CN"/>
        </w:rPr>
        <w:t>截至2023年9月底，全校11378名</w:t>
      </w:r>
      <w:r>
        <w:rPr>
          <w:rFonts w:hint="default" w:ascii="Times New Roman" w:hAnsi="Times New Roman" w:eastAsia="仿宋" w:cs="Times New Roman"/>
          <w:sz w:val="32"/>
          <w:szCs w:val="32"/>
          <w:lang w:eastAsia="zh-CN"/>
        </w:rPr>
        <w:t>2023</w:t>
      </w:r>
      <w:r>
        <w:rPr>
          <w:rFonts w:hint="default" w:ascii="Times New Roman" w:hAnsi="Times New Roman" w:eastAsia="仿宋" w:cs="Times New Roman"/>
          <w:sz w:val="32"/>
          <w:szCs w:val="32"/>
        </w:rPr>
        <w:t>级研究生新生</w:t>
      </w:r>
      <w:r>
        <w:rPr>
          <w:rFonts w:hint="default" w:ascii="Times New Roman" w:hAnsi="Times New Roman" w:eastAsia="仿宋" w:cs="Times New Roman"/>
          <w:sz w:val="32"/>
          <w:szCs w:val="32"/>
          <w:lang w:val="en-US" w:eastAsia="zh-CN"/>
        </w:rPr>
        <w:t>参加并通过了研究生入学教育测试，其中6675名实验学科研究生新生通过了</w:t>
      </w:r>
      <w:r>
        <w:rPr>
          <w:rFonts w:hint="default" w:ascii="Times New Roman" w:hAnsi="Times New Roman" w:eastAsia="仿宋" w:cs="Times New Roman"/>
          <w:sz w:val="32"/>
          <w:szCs w:val="32"/>
        </w:rPr>
        <w:t>“实验室安全专项测试”</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全校各院系组织开展了不少于40场的各类新生教育活动，</w:t>
      </w:r>
      <w:r>
        <w:rPr>
          <w:rFonts w:hint="default" w:ascii="Times New Roman" w:hAnsi="Times New Roman" w:eastAsia="仿宋" w:cs="Times New Roman"/>
          <w:sz w:val="32"/>
          <w:szCs w:val="32"/>
          <w:lang w:eastAsia="zh-CN"/>
        </w:rPr>
        <w:t>116</w:t>
      </w:r>
      <w:r>
        <w:rPr>
          <w:rFonts w:hint="default" w:ascii="Times New Roman" w:hAnsi="Times New Roman" w:eastAsia="仿宋" w:cs="Times New Roman"/>
          <w:sz w:val="32"/>
          <w:szCs w:val="32"/>
          <w:lang w:val="en-US" w:eastAsia="zh-CN"/>
        </w:rPr>
        <w:t>32名研究生新生</w:t>
      </w:r>
      <w:r>
        <w:rPr>
          <w:rFonts w:hint="default" w:ascii="Times New Roman" w:hAnsi="Times New Roman" w:eastAsia="仿宋" w:cs="Times New Roman"/>
          <w:sz w:val="32"/>
          <w:szCs w:val="32"/>
        </w:rPr>
        <w:t>签署</w:t>
      </w:r>
      <w:r>
        <w:rPr>
          <w:rFonts w:hint="default" w:ascii="Times New Roman" w:hAnsi="Times New Roman" w:eastAsia="仿宋" w:cs="Times New Roman"/>
          <w:sz w:val="32"/>
          <w:szCs w:val="32"/>
          <w:lang w:val="en-US" w:eastAsia="zh-CN"/>
        </w:rPr>
        <w:t>了</w:t>
      </w:r>
      <w:r>
        <w:rPr>
          <w:rFonts w:hint="default" w:ascii="Times New Roman" w:hAnsi="Times New Roman" w:eastAsia="仿宋" w:cs="Times New Roman"/>
          <w:sz w:val="32"/>
          <w:szCs w:val="32"/>
        </w:rPr>
        <w:t>《复旦大学研究生遵守管理规定与学术规范承诺书》。</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二、课程建设和课程学习</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eastAsia="仿宋" w:cs="Times New Roman"/>
          <w:color w:val="FF0000"/>
          <w:sz w:val="32"/>
          <w:szCs w:val="32"/>
          <w:lang w:eastAsia="zh-CN"/>
        </w:rPr>
      </w:pPr>
      <w:r>
        <w:rPr>
          <w:rFonts w:hint="default" w:ascii="Times New Roman" w:hAnsi="Times New Roman" w:eastAsia="仿宋" w:cs="Times New Roman"/>
          <w:sz w:val="32"/>
          <w:szCs w:val="32"/>
          <w:lang w:val="en-US" w:eastAsia="zh-CN"/>
        </w:rPr>
        <w:t>课程学习是学生</w:t>
      </w:r>
      <w:r>
        <w:rPr>
          <w:rFonts w:hint="eastAsia" w:ascii="Times New Roman" w:hAnsi="Times New Roman" w:cs="Times New Roman"/>
          <w:sz w:val="32"/>
          <w:szCs w:val="32"/>
          <w:lang w:val="en-US" w:eastAsia="zh-CN"/>
        </w:rPr>
        <w:t>学风</w:t>
      </w:r>
      <w:r>
        <w:rPr>
          <w:rFonts w:hint="default" w:ascii="Times New Roman" w:hAnsi="Times New Roman" w:eastAsia="仿宋" w:cs="Times New Roman"/>
          <w:sz w:val="32"/>
          <w:szCs w:val="32"/>
          <w:lang w:val="en-US" w:eastAsia="zh-CN"/>
        </w:rPr>
        <w:t>培养的主要阵地。2023年，全校共建引领性示范性的“思政大课”，以“形势与政策”课为主要载体，面向全体本科生，构建“学思践悟”教学体系，突出实践育人成效，加强社会主义</w:t>
      </w:r>
      <w:r>
        <w:rPr>
          <w:rFonts w:hint="eastAsia" w:ascii="Times New Roman" w:hAnsi="Times New Roman" w:cs="Times New Roman"/>
          <w:sz w:val="32"/>
          <w:szCs w:val="32"/>
          <w:lang w:val="en-US" w:eastAsia="zh-CN"/>
        </w:rPr>
        <w:t>核心</w:t>
      </w:r>
      <w:r>
        <w:rPr>
          <w:rFonts w:hint="default" w:ascii="Times New Roman" w:hAnsi="Times New Roman" w:eastAsia="仿宋" w:cs="Times New Roman"/>
          <w:sz w:val="32"/>
          <w:szCs w:val="32"/>
          <w:lang w:val="en-US" w:eastAsia="zh-CN"/>
        </w:rPr>
        <w:t>价值观教育，熔铸复旦人的家国情怀和精神特质。持续加强研究生课程建设，</w:t>
      </w:r>
      <w:r>
        <w:rPr>
          <w:rFonts w:hint="eastAsia" w:ascii="Times New Roman" w:hAnsi="Times New Roman" w:cs="Times New Roman"/>
          <w:sz w:val="32"/>
          <w:szCs w:val="32"/>
          <w:lang w:val="en-US" w:eastAsia="zh-CN"/>
        </w:rPr>
        <w:t>先后</w:t>
      </w:r>
      <w:r>
        <w:rPr>
          <w:rFonts w:hint="default" w:ascii="Times New Roman" w:hAnsi="Times New Roman" w:eastAsia="仿宋" w:cs="Times New Roman"/>
          <w:sz w:val="32"/>
          <w:szCs w:val="32"/>
          <w:lang w:val="en-US" w:eastAsia="zh-CN"/>
        </w:rPr>
        <w:t>开设科研伦理、学术规范、学术写作</w:t>
      </w:r>
      <w:r>
        <w:rPr>
          <w:rFonts w:hint="eastAsia" w:ascii="Times New Roman" w:hAnsi="Times New Roman" w:cs="Times New Roman"/>
          <w:sz w:val="32"/>
          <w:szCs w:val="32"/>
          <w:lang w:val="en-US" w:eastAsia="zh-CN"/>
        </w:rPr>
        <w:t>等</w:t>
      </w:r>
      <w:r>
        <w:rPr>
          <w:rFonts w:hint="default" w:ascii="Times New Roman" w:hAnsi="Times New Roman" w:eastAsia="仿宋" w:cs="Times New Roman"/>
          <w:sz w:val="32"/>
          <w:szCs w:val="32"/>
          <w:lang w:val="en-US" w:eastAsia="zh-CN"/>
        </w:rPr>
        <w:t>课程，增开8门实验室安全类公共选修课，全年共32个院系开设相关研究生课程，累计开课84门次，全年累计选课4581人次。</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0"/>
        <w:textAlignment w:val="baseline"/>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三、科研实践活动</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学校注重在科研实践中不断加强研究生科研学术训练，通过科研学术训练锤炼研究生的国家意识、科学素养、人文情怀、创新精神，持续开展实验室和课题组文化建设。2023年，在首届国家自然科学基金“青年学生基础研究项目”中，我校共有33名博士生获得项目立项，推荐的本科生项目全部获得资助。“本科生学术研究资助计划”（FDUROP）申请人数同比大幅增加，全年立项500余项，相关本科生发表论文约60篇，4000余名本科生投身各类学科竞赛，推荐国家级、上海市级大学生创新创业训练计划项目560余项。持续打造研究生五四演讲比赛、《中国道路大讲堂》、《大师面对面》、《浦江科学大师讲坛》等品牌项目。面向国家急需、薄弱、空白、关键领域，有针对性地培养一批拔尖创新人才，推进“上海科创中心拔尖人才创新培养项目”建设和实施，将高质量博士生培养与重大科技布局紧密结合，构建科教协同育人机制。</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textAlignment w:val="baseline"/>
        <w:rPr>
          <w:rFonts w:hint="default" w:ascii="黑体" w:hAnsi="黑体" w:eastAsia="黑体" w:cs="黑体"/>
          <w:b/>
          <w:bCs/>
          <w:sz w:val="32"/>
          <w:szCs w:val="32"/>
          <w:lang w:val="en-US"/>
        </w:rPr>
      </w:pPr>
      <w:r>
        <w:rPr>
          <w:rFonts w:hint="eastAsia" w:ascii="黑体" w:hAnsi="黑体" w:eastAsia="黑体" w:cs="黑体"/>
          <w:b/>
          <w:bCs/>
          <w:sz w:val="32"/>
          <w:szCs w:val="32"/>
          <w:lang w:val="en-US" w:eastAsia="zh-CN"/>
        </w:rPr>
        <w:t>四、研究生培养环节考核</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开题、</w:t>
      </w:r>
      <w:r>
        <w:rPr>
          <w:rFonts w:hint="default" w:ascii="Times New Roman" w:hAnsi="Times New Roman" w:eastAsia="仿宋" w:cs="Times New Roman"/>
          <w:sz w:val="32"/>
          <w:szCs w:val="32"/>
        </w:rPr>
        <w:t>中期考核</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学位论文预审等培养环节，是研究生进入科研训练阶段后的重要</w:t>
      </w:r>
      <w:r>
        <w:rPr>
          <w:rFonts w:hint="default" w:ascii="Times New Roman" w:hAnsi="Times New Roman" w:eastAsia="仿宋" w:cs="Times New Roman"/>
          <w:sz w:val="32"/>
          <w:szCs w:val="32"/>
        </w:rPr>
        <w:t>环节，</w:t>
      </w:r>
      <w:r>
        <w:rPr>
          <w:rFonts w:hint="eastAsia" w:ascii="Times New Roman" w:hAnsi="Times New Roman" w:cs="Times New Roman"/>
          <w:sz w:val="32"/>
          <w:szCs w:val="32"/>
          <w:lang w:val="en-US" w:eastAsia="zh-CN"/>
        </w:rPr>
        <w:t>也</w:t>
      </w:r>
      <w:r>
        <w:rPr>
          <w:rFonts w:hint="default" w:ascii="Times New Roman" w:hAnsi="Times New Roman" w:eastAsia="仿宋" w:cs="Times New Roman"/>
          <w:sz w:val="32"/>
          <w:szCs w:val="32"/>
        </w:rPr>
        <w:t>是保证培养质量的关键质控点。</w:t>
      </w:r>
      <w:r>
        <w:rPr>
          <w:rFonts w:hint="default" w:ascii="Times New Roman" w:hAnsi="Times New Roman" w:eastAsia="仿宋" w:cs="Times New Roman"/>
          <w:sz w:val="32"/>
          <w:szCs w:val="32"/>
          <w:lang w:val="en-US" w:eastAsia="zh-CN"/>
        </w:rPr>
        <w:t>自2021年发布实施《复旦大学博士研究生培养分流退出实施办法》以来，学校进一步加强了中期考核环节对研究生思想品德、科学道德和学术规范的考评，各院系通过面试、答辩汇报等形式，</w:t>
      </w:r>
      <w:r>
        <w:rPr>
          <w:rFonts w:hint="eastAsia" w:ascii="Times New Roman" w:hAnsi="Times New Roman" w:cs="Times New Roman"/>
          <w:sz w:val="32"/>
          <w:szCs w:val="32"/>
          <w:lang w:val="en-US" w:eastAsia="zh-CN"/>
        </w:rPr>
        <w:t>夯</w:t>
      </w:r>
      <w:bookmarkStart w:id="0" w:name="_GoBack"/>
      <w:bookmarkEnd w:id="0"/>
      <w:r>
        <w:rPr>
          <w:rFonts w:hint="eastAsia" w:ascii="Times New Roman" w:hAnsi="Times New Roman" w:cs="Times New Roman"/>
          <w:sz w:val="32"/>
          <w:szCs w:val="32"/>
          <w:lang w:val="en-US" w:eastAsia="zh-CN"/>
        </w:rPr>
        <w:t>实</w:t>
      </w:r>
      <w:r>
        <w:rPr>
          <w:rFonts w:hint="default" w:ascii="Times New Roman" w:hAnsi="Times New Roman" w:eastAsia="仿宋" w:cs="Times New Roman"/>
          <w:sz w:val="32"/>
          <w:szCs w:val="32"/>
        </w:rPr>
        <w:t>对研究生的知识传授和学业指导，加强对研究生科学道德和学术规范的培养。</w:t>
      </w:r>
      <w:r>
        <w:rPr>
          <w:rFonts w:hint="default" w:ascii="Times New Roman" w:hAnsi="Times New Roman" w:eastAsia="仿宋" w:cs="Times New Roman"/>
          <w:sz w:val="32"/>
          <w:szCs w:val="32"/>
          <w:lang w:val="en-US" w:eastAsia="zh-CN"/>
        </w:rPr>
        <w:t>2023年，完成开题、中期考核两个业务模块的信息化系统建设，实现全过程可回溯的培养环节数据采集和资料存档系统化</w:t>
      </w:r>
      <w:r>
        <w:rPr>
          <w:rFonts w:hint="default" w:ascii="Times New Roman" w:hAnsi="Times New Roman" w:eastAsia="仿宋" w:cs="Times New Roman"/>
          <w:sz w:val="32"/>
          <w:szCs w:val="32"/>
        </w:rPr>
        <w:t>。</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w:t>
      </w:r>
      <w:r>
        <w:rPr>
          <w:rFonts w:hint="eastAsia" w:ascii="黑体" w:hAnsi="黑体" w:eastAsia="黑体" w:cs="黑体"/>
          <w:b/>
          <w:bCs/>
          <w:sz w:val="32"/>
          <w:szCs w:val="32"/>
          <w:lang w:val="en-US" w:eastAsia="en-US"/>
        </w:rPr>
        <w:t>相辉学术文化节</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继续组织举办研究生品牌活动“相辉学术文化节”暨科学道德和学风建设宣传。全校各培养单位全年共组织开展</w:t>
      </w:r>
      <w:r>
        <w:rPr>
          <w:rFonts w:hint="default" w:ascii="Times New Roman" w:hAnsi="Times New Roman" w:cs="Times New Roman"/>
          <w:sz w:val="32"/>
          <w:szCs w:val="32"/>
          <w:lang w:val="en-US" w:eastAsia="zh-CN"/>
        </w:rPr>
        <w:t>183场次讲座</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59场次主题班会</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119场次研讨会/研讨活动</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90场次系列实践活动</w:t>
      </w:r>
      <w:r>
        <w:rPr>
          <w:rFonts w:hint="eastAsia" w:ascii="Times New Roman" w:hAnsi="Times New Roman" w:cs="Times New Roman"/>
          <w:sz w:val="32"/>
          <w:szCs w:val="32"/>
          <w:lang w:val="en-US" w:eastAsia="zh-CN"/>
        </w:rPr>
        <w:t>。2023年4月，数学学院师生赴浙江温州苏步青励志教育馆开展研学活动，重温苏步青、谷超豪等学术前辈的科学家精神。2023年5月，国际关系与公共事务学院举办</w:t>
      </w:r>
      <w:r>
        <w:rPr>
          <w:rFonts w:hint="default" w:ascii="Times New Roman" w:hAnsi="Times New Roman" w:eastAsia="仿宋" w:cs="Times New Roman"/>
          <w:sz w:val="32"/>
          <w:szCs w:val="32"/>
          <w:lang w:val="en-US" w:eastAsia="zh-CN"/>
        </w:rPr>
        <w:t>相辉学术文化节</w:t>
      </w:r>
      <w:r>
        <w:rPr>
          <w:rFonts w:hint="eastAsia" w:ascii="Times New Roman" w:hAnsi="Times New Roman" w:cs="Times New Roman"/>
          <w:sz w:val="32"/>
          <w:szCs w:val="32"/>
          <w:lang w:val="en-US" w:eastAsia="zh-CN"/>
        </w:rPr>
        <w:t>暨</w:t>
      </w:r>
      <w:r>
        <w:rPr>
          <w:rFonts w:hint="default" w:ascii="Times New Roman" w:hAnsi="Times New Roman" w:eastAsia="仿宋" w:cs="Times New Roman"/>
          <w:sz w:val="32"/>
          <w:szCs w:val="32"/>
          <w:lang w:val="en-US" w:eastAsia="zh-CN"/>
        </w:rPr>
        <w:t>科学道德和学风建设专题讲座</w:t>
      </w:r>
      <w:r>
        <w:rPr>
          <w:rFonts w:hint="eastAsia" w:ascii="Times New Roman" w:hAnsi="Times New Roman" w:cs="Times New Roman"/>
          <w:sz w:val="32"/>
          <w:szCs w:val="32"/>
          <w:lang w:val="en-US" w:eastAsia="zh-CN"/>
        </w:rPr>
        <w:t>，郭定平教授受邀与同学们分享了学校</w:t>
      </w:r>
      <w:r>
        <w:rPr>
          <w:rFonts w:hint="default" w:ascii="Times New Roman" w:hAnsi="Times New Roman" w:eastAsia="仿宋" w:cs="Times New Roman"/>
          <w:sz w:val="32"/>
          <w:szCs w:val="32"/>
          <w:lang w:val="en-US" w:eastAsia="zh-CN"/>
        </w:rPr>
        <w:t>政治学科从1923年到2023年的百年历史</w:t>
      </w:r>
      <w:r>
        <w:rPr>
          <w:rFonts w:hint="eastAsia" w:ascii="Times New Roman" w:hAnsi="Times New Roman" w:cs="Times New Roman"/>
          <w:sz w:val="32"/>
          <w:szCs w:val="32"/>
          <w:lang w:val="en-US" w:eastAsia="zh-CN"/>
        </w:rPr>
        <w:t>。2023年10月，毛河光院士受邀做了题为“</w:t>
      </w:r>
      <w:r>
        <w:rPr>
          <w:rFonts w:hint="eastAsia" w:ascii="Times New Roman" w:hAnsi="Times New Roman" w:eastAsia="仿宋" w:cs="Times New Roman"/>
          <w:snapToGrid w:val="0"/>
          <w:color w:val="000000"/>
          <w:kern w:val="0"/>
          <w:sz w:val="32"/>
          <w:szCs w:val="32"/>
          <w:lang w:val="en-US" w:eastAsia="zh-CN" w:bidi="ar-SA"/>
        </w:rPr>
        <w:t>高压下物质科学的蝶变</w:t>
      </w:r>
      <w:r>
        <w:rPr>
          <w:rFonts w:hint="eastAsia" w:ascii="Times New Roman" w:hAnsi="Times New Roman" w:cs="Times New Roman"/>
          <w:sz w:val="32"/>
          <w:szCs w:val="32"/>
          <w:lang w:val="en-US" w:eastAsia="zh-CN"/>
        </w:rPr>
        <w:t>”的“大师面对面”主题讲座，带领听众回顾了高压科学的发展历程和</w:t>
      </w:r>
      <w:r>
        <w:rPr>
          <w:rFonts w:hint="eastAsia" w:ascii="Times New Roman" w:hAnsi="Times New Roman" w:eastAsia="仿宋" w:cs="Times New Roman"/>
          <w:snapToGrid w:val="0"/>
          <w:color w:val="000000"/>
          <w:kern w:val="0"/>
          <w:sz w:val="32"/>
          <w:szCs w:val="32"/>
          <w:lang w:val="en-US" w:eastAsia="zh-CN" w:bidi="ar-SA"/>
        </w:rPr>
        <w:t>金属氢、高压高温超导富氢化合物等材料的研究进展</w:t>
      </w:r>
      <w:r>
        <w:rPr>
          <w:rFonts w:hint="eastAsia" w:ascii="Times New Roman" w:hAnsi="Times New Roman" w:cs="Times New Roman"/>
          <w:snapToGrid w:val="0"/>
          <w:color w:val="000000"/>
          <w:kern w:val="0"/>
          <w:sz w:val="32"/>
          <w:szCs w:val="32"/>
          <w:lang w:val="en-US" w:eastAsia="zh-CN" w:bidi="ar-SA"/>
        </w:rPr>
        <w:t>。2023年12月，在</w:t>
      </w:r>
      <w:r>
        <w:rPr>
          <w:rFonts w:hint="default" w:ascii="Times New Roman" w:hAnsi="Times New Roman" w:eastAsia="仿宋" w:cs="Times New Roman"/>
          <w:sz w:val="32"/>
          <w:szCs w:val="32"/>
          <w:lang w:val="en-US" w:eastAsia="zh-CN"/>
        </w:rPr>
        <w:t>第二届相辉学术文化节闭幕式暨2023年科学道德与学风建设总结会议</w:t>
      </w:r>
      <w:r>
        <w:rPr>
          <w:rFonts w:hint="eastAsia" w:ascii="Times New Roman" w:hAnsi="Times New Roman" w:cs="Times New Roman"/>
          <w:sz w:val="32"/>
          <w:szCs w:val="32"/>
          <w:lang w:val="en-US" w:eastAsia="zh-CN"/>
        </w:rPr>
        <w:t>上，</w:t>
      </w:r>
      <w:r>
        <w:rPr>
          <w:rFonts w:hint="eastAsia" w:ascii="Times New Roman" w:hAnsi="Times New Roman" w:eastAsia="仿宋" w:cs="Times New Roman"/>
          <w:sz w:val="32"/>
          <w:szCs w:val="32"/>
          <w:lang w:val="en-US" w:eastAsia="zh-CN"/>
        </w:rPr>
        <w:t>“相辉学者”鲁伯埙</w:t>
      </w:r>
      <w:r>
        <w:rPr>
          <w:rFonts w:hint="eastAsia" w:ascii="Times New Roman" w:hAnsi="Times New Roman" w:cs="Times New Roman"/>
          <w:sz w:val="32"/>
          <w:szCs w:val="32"/>
          <w:lang w:val="en-US" w:eastAsia="zh-CN"/>
        </w:rPr>
        <w:t>教授以“</w:t>
      </w:r>
      <w:r>
        <w:rPr>
          <w:rFonts w:hint="default" w:ascii="Times New Roman" w:hAnsi="Times New Roman" w:eastAsia="仿宋" w:cs="Times New Roman"/>
          <w:sz w:val="32"/>
          <w:szCs w:val="32"/>
          <w:lang w:val="en-US" w:eastAsia="zh-CN"/>
        </w:rPr>
        <w:t>关于生命科学研究思想方法的探讨</w:t>
      </w:r>
      <w:r>
        <w:rPr>
          <w:rFonts w:hint="eastAsia" w:ascii="Times New Roman" w:hAnsi="Times New Roman" w:cs="Times New Roman"/>
          <w:sz w:val="32"/>
          <w:szCs w:val="32"/>
          <w:lang w:val="en-US" w:eastAsia="zh-CN"/>
        </w:rPr>
        <w:t>”为题，和师生分享了他在生命科学研究中的经历和体会。</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六、长三角科学道德和学风建设论坛</w:t>
      </w:r>
    </w:p>
    <w:p>
      <w:pPr>
        <w:pStyle w:val="3"/>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textAlignment w:val="baseline"/>
        <w:rPr>
          <w:rFonts w:hint="eastAsia" w:ascii="Times New Roman" w:hAnsi="Times New Roman" w:eastAsia="仿宋" w:cs="Times New Roman"/>
          <w:sz w:val="32"/>
          <w:szCs w:val="32"/>
          <w:lang w:val="en-US" w:eastAsia="zh-CN"/>
        </w:rPr>
      </w:pPr>
      <w:r>
        <w:rPr>
          <w:rFonts w:hint="eastAsia" w:ascii="Times New Roman" w:hAnsi="Times New Roman" w:cs="Times New Roman"/>
          <w:sz w:val="32"/>
          <w:szCs w:val="32"/>
          <w:lang w:val="en-US" w:eastAsia="zh-CN"/>
        </w:rPr>
        <w:t>积极动员师生参加第二届“长三角科学道德和学风建设论坛”。</w:t>
      </w:r>
      <w:r>
        <w:rPr>
          <w:rFonts w:hint="default" w:ascii="Times New Roman" w:hAnsi="Times New Roman" w:eastAsia="仿宋" w:cs="Times New Roman"/>
          <w:sz w:val="32"/>
          <w:szCs w:val="32"/>
          <w:lang w:val="en-US" w:eastAsia="zh-CN"/>
        </w:rPr>
        <w:t>本论坛由上海市科协、上海市教委作为指导单位，由上海市科学道德和学风建设宣讲教育领导小组办公室、上海市学位委员会办公室主办，</w:t>
      </w:r>
      <w:r>
        <w:rPr>
          <w:rFonts w:hint="eastAsia" w:ascii="Times New Roman" w:hAnsi="Times New Roman" w:eastAsia="仿宋" w:cs="Times New Roman"/>
          <w:sz w:val="32"/>
          <w:szCs w:val="32"/>
          <w:lang w:val="en-US" w:eastAsia="zh-CN"/>
        </w:rPr>
        <w:t>是</w:t>
      </w:r>
      <w:r>
        <w:rPr>
          <w:rFonts w:hint="default" w:ascii="Times New Roman" w:hAnsi="Times New Roman" w:eastAsia="仿宋" w:cs="Times New Roman"/>
          <w:sz w:val="32"/>
          <w:szCs w:val="32"/>
          <w:lang w:val="en-US" w:eastAsia="zh-CN"/>
        </w:rPr>
        <w:t>长三角高校、科研院所师生</w:t>
      </w:r>
      <w:r>
        <w:rPr>
          <w:rFonts w:hint="eastAsia" w:ascii="Times New Roman" w:hAnsi="Times New Roman" w:eastAsia="仿宋" w:cs="Times New Roman"/>
          <w:sz w:val="32"/>
          <w:szCs w:val="32"/>
          <w:lang w:val="en-US" w:eastAsia="zh-CN"/>
        </w:rPr>
        <w:t>关于科学道德和学风建设研讨交流的大平台。2023年，我校</w:t>
      </w:r>
      <w:r>
        <w:rPr>
          <w:rFonts w:hint="default" w:ascii="Times New Roman" w:hAnsi="Times New Roman" w:eastAsia="仿宋" w:cs="Times New Roman"/>
          <w:sz w:val="32"/>
          <w:szCs w:val="32"/>
          <w:lang w:val="en-US" w:eastAsia="zh-CN"/>
        </w:rPr>
        <w:t>师生获奖学术论文</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lang w:val="en-US" w:eastAsia="zh-CN"/>
        </w:rPr>
        <w:t>篇</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其中一等奖</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三等奖</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优秀奖</w:t>
      </w:r>
      <w:r>
        <w:rPr>
          <w:rFonts w:hint="eastAsia" w:ascii="Times New Roman" w:hAnsi="Times New Roman" w:eastAsia="仿宋" w:cs="Times New Roman"/>
          <w:sz w:val="32"/>
          <w:szCs w:val="32"/>
          <w:lang w:val="en-US" w:eastAsia="zh-CN"/>
        </w:rPr>
        <w:t>各</w:t>
      </w:r>
      <w:r>
        <w:rPr>
          <w:rFonts w:hint="default" w:ascii="Times New Roman" w:hAnsi="Times New Roman" w:eastAsia="仿宋" w:cs="Times New Roman"/>
          <w:sz w:val="32"/>
          <w:szCs w:val="32"/>
          <w:lang w:val="en-US" w:eastAsia="zh-CN"/>
        </w:rPr>
        <w:t>1篇</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获奖工作案例</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篇</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获评“研究生创新实践之星”1人。</w:t>
      </w:r>
    </w:p>
    <w:sectPr>
      <w:footerReference r:id="rId5" w:type="default"/>
      <w:pgSz w:w="11907" w:h="16839"/>
      <w:pgMar w:top="1701" w:right="1606" w:bottom="1444" w:left="1672" w:header="1427" w:footer="120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cwNDlkYWU5YWE5ZmExN2IzNmZjYWE0ZmEwOTQ5MzcifQ=="/>
  </w:docVars>
  <w:rsids>
    <w:rsidRoot w:val="00000000"/>
    <w:rsid w:val="06451B85"/>
    <w:rsid w:val="0A226964"/>
    <w:rsid w:val="10D66692"/>
    <w:rsid w:val="14200968"/>
    <w:rsid w:val="157F5CB3"/>
    <w:rsid w:val="1AA517B0"/>
    <w:rsid w:val="1C2E71CD"/>
    <w:rsid w:val="1CAB33B7"/>
    <w:rsid w:val="1F4268F0"/>
    <w:rsid w:val="216D100A"/>
    <w:rsid w:val="21CD1190"/>
    <w:rsid w:val="23F15571"/>
    <w:rsid w:val="26B005BD"/>
    <w:rsid w:val="301C7483"/>
    <w:rsid w:val="31F84FD8"/>
    <w:rsid w:val="33DB773D"/>
    <w:rsid w:val="33F9432B"/>
    <w:rsid w:val="35072585"/>
    <w:rsid w:val="351070DD"/>
    <w:rsid w:val="3523490A"/>
    <w:rsid w:val="392E100F"/>
    <w:rsid w:val="40B76E3C"/>
    <w:rsid w:val="43BB53E5"/>
    <w:rsid w:val="43D617A7"/>
    <w:rsid w:val="463F38AF"/>
    <w:rsid w:val="47287B9E"/>
    <w:rsid w:val="49C81D22"/>
    <w:rsid w:val="4A136EB3"/>
    <w:rsid w:val="4A6718D3"/>
    <w:rsid w:val="4CFE281D"/>
    <w:rsid w:val="4D281E45"/>
    <w:rsid w:val="52C2099A"/>
    <w:rsid w:val="52F81A81"/>
    <w:rsid w:val="57AE39E5"/>
    <w:rsid w:val="58AF13BB"/>
    <w:rsid w:val="599D1C46"/>
    <w:rsid w:val="5A9A35FE"/>
    <w:rsid w:val="5FCA1859"/>
    <w:rsid w:val="64283A29"/>
    <w:rsid w:val="6639539F"/>
    <w:rsid w:val="67CE2B39"/>
    <w:rsid w:val="67D54202"/>
    <w:rsid w:val="69D368AC"/>
    <w:rsid w:val="6A2B6DC8"/>
    <w:rsid w:val="6AE44AD1"/>
    <w:rsid w:val="7248745F"/>
    <w:rsid w:val="7682521B"/>
    <w:rsid w:val="77521091"/>
    <w:rsid w:val="78F56442"/>
    <w:rsid w:val="7BDF6C6B"/>
    <w:rsid w:val="7EB52B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31"/>
      <w:szCs w:val="31"/>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4700</Words>
  <Characters>4878</Characters>
  <TotalTime>3</TotalTime>
  <ScaleCrop>false</ScaleCrop>
  <LinksUpToDate>false</LinksUpToDate>
  <CharactersWithSpaces>5201</CharactersWithSpaces>
  <Application>WPS Office_12.1.0.16364_F1E327BC-269C-435d-A152-05C5408002CA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2023-10-23T16:03:00Z</dcterms:created>
  <dc:creator>Microsoft 帐户</dc:creator>
  <cp:lastModifiedBy>陆德梅</cp:lastModifiedBy>
  <dcterms:modified xsi:type="dcterms:W3CDTF">2024-10-31T02:46:05Z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2024-10-31T05:42:25Z</vt:filetime>
  </property>
  <property fmtid="{D5CDD505-2E9C-101B-9397-08002B2CF9AE}" pid="4" name="KSOProductBuildVer">
    <vt:lpwstr>2052-12.1.0.16364</vt:lpwstr>
  </property>
  <property fmtid="{D5CDD505-2E9C-101B-9397-08002B2CF9AE}" pid="5" name="ICV">
    <vt:lpwstr>417C000F019D4BFDB6D6B654A4FCC3F8_12</vt:lpwstr>
  </property>
</Properties>
</file>